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AA1" w:rsidRPr="00C301CF" w:rsidRDefault="00EA7AA1" w:rsidP="00FA0E72">
      <w:pPr>
        <w:spacing w:beforeLines="20" w:before="72" w:afterLines="20" w:after="72" w:line="0" w:lineRule="atLeast"/>
        <w:jc w:val="center"/>
        <w:rPr>
          <w:rFonts w:eastAsia="標楷體"/>
          <w:b/>
          <w:bCs/>
          <w:color w:val="000000"/>
          <w:sz w:val="32"/>
        </w:rPr>
      </w:pPr>
      <w:bookmarkStart w:id="0" w:name="_GoBack"/>
      <w:bookmarkEnd w:id="0"/>
      <w:r w:rsidRPr="00C301CF">
        <w:rPr>
          <w:b/>
          <w:color w:val="000000"/>
          <w:sz w:val="32"/>
        </w:rPr>
        <w:t xml:space="preserve">Chung Yuan Christian University </w:t>
      </w:r>
      <w:r w:rsidR="00BE353B" w:rsidRPr="00C301CF">
        <w:rPr>
          <w:b/>
          <w:color w:val="000000"/>
          <w:sz w:val="32"/>
        </w:rPr>
        <w:br/>
      </w:r>
      <w:r w:rsidRPr="00C301CF">
        <w:rPr>
          <w:b/>
          <w:color w:val="000000"/>
          <w:sz w:val="32"/>
        </w:rPr>
        <w:t>Regulations for Faculty Promotion Evaluation of the Department of Interior Design of the School of Design</w:t>
      </w:r>
    </w:p>
    <w:p w:rsidR="00FA0E72" w:rsidRPr="00C301CF" w:rsidRDefault="00FA0E72" w:rsidP="00FA0E72">
      <w:pPr>
        <w:spacing w:beforeLines="20" w:before="72" w:afterLines="20" w:after="72" w:line="0" w:lineRule="atLeast"/>
        <w:jc w:val="right"/>
        <w:rPr>
          <w:rFonts w:eastAsia="標楷體"/>
          <w:color w:val="000000"/>
          <w:sz w:val="21"/>
          <w:szCs w:val="21"/>
        </w:rPr>
      </w:pPr>
    </w:p>
    <w:p w:rsidR="00EA7AA1" w:rsidRPr="00C301CF" w:rsidRDefault="006127E3" w:rsidP="00FA0E72">
      <w:pPr>
        <w:spacing w:beforeLines="20" w:before="72" w:afterLines="20" w:after="72" w:line="0" w:lineRule="atLeast"/>
        <w:jc w:val="right"/>
        <w:rPr>
          <w:rFonts w:eastAsia="標楷體"/>
          <w:color w:val="000000"/>
          <w:sz w:val="21"/>
          <w:szCs w:val="21"/>
        </w:rPr>
      </w:pPr>
      <w:r w:rsidRPr="00C301CF">
        <w:rPr>
          <w:color w:val="000000"/>
          <w:sz w:val="21"/>
        </w:rPr>
        <w:t>Approved by the 2nd Department Affairs Committee Meeting of the academic year of 1997 on 1997.9.18</w:t>
      </w:r>
    </w:p>
    <w:p w:rsidR="00EA7AA1" w:rsidRPr="00C301CF" w:rsidRDefault="006127E3" w:rsidP="00FA0E72">
      <w:pPr>
        <w:spacing w:beforeLines="20" w:before="72" w:afterLines="20" w:after="72" w:line="0" w:lineRule="atLeast"/>
        <w:jc w:val="right"/>
        <w:rPr>
          <w:rFonts w:eastAsia="標楷體"/>
          <w:color w:val="000000"/>
          <w:sz w:val="21"/>
          <w:szCs w:val="21"/>
        </w:rPr>
      </w:pPr>
      <w:r w:rsidRPr="00C301CF">
        <w:rPr>
          <w:color w:val="000000"/>
          <w:sz w:val="21"/>
        </w:rPr>
        <w:t>Amendment approved by the 4th Department Affairs Committee Meeting of the academic year of 2004 on 2005.1.12</w:t>
      </w:r>
    </w:p>
    <w:p w:rsidR="00EA7AA1" w:rsidRPr="00C301CF" w:rsidRDefault="006127E3" w:rsidP="00FA0E72">
      <w:pPr>
        <w:spacing w:beforeLines="20" w:before="72" w:afterLines="20" w:after="72" w:line="0" w:lineRule="atLeast"/>
        <w:jc w:val="right"/>
        <w:rPr>
          <w:rFonts w:eastAsia="標楷體"/>
          <w:color w:val="000000"/>
          <w:sz w:val="21"/>
          <w:szCs w:val="21"/>
        </w:rPr>
      </w:pPr>
      <w:r w:rsidRPr="00C301CF">
        <w:rPr>
          <w:color w:val="000000"/>
          <w:sz w:val="21"/>
        </w:rPr>
        <w:t>Amendment approved by the 7th Department Affairs Committee Meeting of the academic year of 2004 on 2005.3.28</w:t>
      </w:r>
    </w:p>
    <w:p w:rsidR="00EA7AA1" w:rsidRPr="00C301CF" w:rsidRDefault="006127E3" w:rsidP="00FA0E72">
      <w:pPr>
        <w:spacing w:beforeLines="20" w:before="72" w:afterLines="20" w:after="72" w:line="0" w:lineRule="atLeast"/>
        <w:jc w:val="right"/>
        <w:rPr>
          <w:rFonts w:eastAsia="標楷體"/>
          <w:color w:val="000000"/>
          <w:sz w:val="21"/>
          <w:szCs w:val="21"/>
        </w:rPr>
      </w:pPr>
      <w:r w:rsidRPr="00C301CF">
        <w:rPr>
          <w:color w:val="000000"/>
          <w:sz w:val="21"/>
        </w:rPr>
        <w:t>Amendment approved by the 5th Department Affairs Committee Meeting at the first semester of the academic year of 2006 on 2006.11.15</w:t>
      </w:r>
    </w:p>
    <w:p w:rsidR="00932798" w:rsidRPr="00C301CF" w:rsidRDefault="006127E3" w:rsidP="00FA0E72">
      <w:pPr>
        <w:spacing w:beforeLines="20" w:before="72" w:afterLines="20" w:after="72" w:line="0" w:lineRule="atLeast"/>
        <w:jc w:val="right"/>
        <w:rPr>
          <w:rFonts w:eastAsia="標楷體"/>
          <w:color w:val="000000"/>
          <w:sz w:val="21"/>
          <w:szCs w:val="21"/>
        </w:rPr>
      </w:pPr>
      <w:r w:rsidRPr="00C301CF">
        <w:rPr>
          <w:color w:val="000000"/>
          <w:sz w:val="21"/>
        </w:rPr>
        <w:t>Amendment approved by the 4th Department Affairs Committee Meeting at the first semester of the academic year of 2011 on 2011.11.30</w:t>
      </w:r>
    </w:p>
    <w:p w:rsidR="00125579" w:rsidRPr="00C301CF" w:rsidRDefault="00125579" w:rsidP="00FA0E72">
      <w:pPr>
        <w:spacing w:beforeLines="20" w:before="72" w:afterLines="20" w:after="72" w:line="0" w:lineRule="atLeast"/>
        <w:jc w:val="right"/>
        <w:rPr>
          <w:rFonts w:eastAsia="標楷體"/>
          <w:color w:val="000000"/>
          <w:sz w:val="21"/>
          <w:szCs w:val="21"/>
        </w:rPr>
      </w:pPr>
      <w:r w:rsidRPr="00C301CF">
        <w:rPr>
          <w:color w:val="000000"/>
          <w:sz w:val="21"/>
        </w:rPr>
        <w:t>Amendment approved by the 2nd Department Affairs Committee Meeting at the first semester of the academic year of 2012 on 2012.10.31</w:t>
      </w:r>
    </w:p>
    <w:p w:rsidR="00044542" w:rsidRPr="00C301CF" w:rsidRDefault="00044542" w:rsidP="00FA0E72">
      <w:pPr>
        <w:spacing w:beforeLines="20" w:before="72" w:afterLines="20" w:after="72" w:line="0" w:lineRule="atLeast"/>
        <w:jc w:val="right"/>
        <w:rPr>
          <w:rFonts w:eastAsia="標楷體"/>
          <w:color w:val="000000"/>
          <w:sz w:val="21"/>
          <w:szCs w:val="21"/>
        </w:rPr>
      </w:pPr>
      <w:r w:rsidRPr="00C301CF">
        <w:rPr>
          <w:color w:val="000000"/>
          <w:sz w:val="21"/>
        </w:rPr>
        <w:t>Amendment approved by the 3rd Department Affairs Committee Meeting at the first semester of the academic year of 2016 on 2016.09.21</w:t>
      </w:r>
    </w:p>
    <w:p w:rsidR="00A2515B" w:rsidRPr="00C301CF" w:rsidRDefault="00A2515B" w:rsidP="00FA0E72">
      <w:pPr>
        <w:spacing w:beforeLines="20" w:before="72" w:afterLines="20" w:after="72" w:line="0" w:lineRule="atLeast"/>
        <w:jc w:val="right"/>
        <w:rPr>
          <w:rFonts w:eastAsia="標楷體"/>
          <w:color w:val="000000"/>
          <w:sz w:val="21"/>
          <w:szCs w:val="21"/>
        </w:rPr>
      </w:pPr>
      <w:r w:rsidRPr="00C301CF">
        <w:rPr>
          <w:color w:val="000000"/>
          <w:sz w:val="21"/>
        </w:rPr>
        <w:t>Amendment approved by the 1st College Faculty Evaluation Committee Meeting at the first semester of the academic year of 2016 on 2016.10.05</w:t>
      </w:r>
    </w:p>
    <w:p w:rsidR="00B56B16" w:rsidRPr="00C301CF" w:rsidRDefault="00B56B16" w:rsidP="00FA0E72">
      <w:pPr>
        <w:spacing w:beforeLines="20" w:before="72" w:afterLines="20" w:after="72" w:line="0" w:lineRule="atLeast"/>
        <w:jc w:val="right"/>
        <w:rPr>
          <w:rFonts w:eastAsia="標楷體"/>
          <w:color w:val="000000"/>
          <w:sz w:val="21"/>
          <w:szCs w:val="21"/>
        </w:rPr>
      </w:pPr>
      <w:r w:rsidRPr="00C301CF">
        <w:rPr>
          <w:color w:val="000000"/>
          <w:sz w:val="21"/>
        </w:rPr>
        <w:t>Amendment approved by the 6th Department Affairs Committee Meeting at the first semester of the academic year of 2022 on 2022.11.09</w:t>
      </w:r>
    </w:p>
    <w:p w:rsidR="00FA0E72" w:rsidRPr="00C301CF" w:rsidRDefault="00FA0E72" w:rsidP="00FA0E72">
      <w:pPr>
        <w:spacing w:beforeLines="20" w:before="72" w:afterLines="20" w:after="72" w:line="0" w:lineRule="atLeast"/>
        <w:jc w:val="right"/>
        <w:rPr>
          <w:rFonts w:eastAsia="標楷體"/>
          <w:color w:val="000000"/>
          <w:sz w:val="21"/>
          <w:szCs w:val="21"/>
        </w:rPr>
      </w:pPr>
    </w:p>
    <w:p w:rsidR="00EA7AA1" w:rsidRPr="00C301CF" w:rsidRDefault="00EA7AA1" w:rsidP="00BE353B">
      <w:pPr>
        <w:numPr>
          <w:ilvl w:val="0"/>
          <w:numId w:val="1"/>
        </w:numPr>
        <w:spacing w:beforeLines="20" w:before="72" w:afterLines="20" w:after="72" w:line="0" w:lineRule="atLeast"/>
        <w:ind w:left="993" w:hanging="993"/>
        <w:jc w:val="both"/>
        <w:rPr>
          <w:rFonts w:eastAsia="標楷體"/>
          <w:color w:val="000000"/>
        </w:rPr>
      </w:pPr>
      <w:r w:rsidRPr="00C301CF">
        <w:rPr>
          <w:color w:val="000000"/>
        </w:rPr>
        <w:t>These Regulations are established in accordance with the Regulations for Establishment of Faculty Evaluation Committee and Regulations for Faculty Promotion Evaluation of Chung Yuan Christian University (hereinafter referred to as “CYCU”).</w:t>
      </w:r>
    </w:p>
    <w:p w:rsidR="00EA7AA1" w:rsidRPr="00C301CF" w:rsidRDefault="00675CB4" w:rsidP="00BE353B">
      <w:pPr>
        <w:numPr>
          <w:ilvl w:val="0"/>
          <w:numId w:val="1"/>
        </w:numPr>
        <w:spacing w:beforeLines="20" w:before="72" w:afterLines="20" w:after="72" w:line="0" w:lineRule="atLeast"/>
        <w:ind w:left="993" w:hanging="993"/>
        <w:jc w:val="both"/>
        <w:rPr>
          <w:rFonts w:eastAsia="標楷體"/>
          <w:color w:val="000000"/>
        </w:rPr>
      </w:pPr>
      <w:r w:rsidRPr="00C301CF">
        <w:rPr>
          <w:color w:val="000000"/>
        </w:rPr>
        <w:t>The faculty promotion shall comply with the following requirements:</w:t>
      </w:r>
    </w:p>
    <w:p w:rsidR="00675CB4" w:rsidRPr="00C301CF" w:rsidRDefault="00675CB4" w:rsidP="00BE353B">
      <w:pPr>
        <w:pStyle w:val="aa"/>
        <w:numPr>
          <w:ilvl w:val="0"/>
          <w:numId w:val="11"/>
        </w:numPr>
        <w:autoSpaceDE w:val="0"/>
        <w:autoSpaceDN w:val="0"/>
        <w:spacing w:beforeLines="20" w:before="72" w:afterLines="20" w:after="72" w:line="0" w:lineRule="atLeast"/>
        <w:ind w:leftChars="0"/>
        <w:jc w:val="both"/>
        <w:rPr>
          <w:rFonts w:eastAsia="標楷體"/>
          <w:color w:val="000000"/>
          <w:szCs w:val="24"/>
        </w:rPr>
      </w:pPr>
      <w:r w:rsidRPr="00C301CF">
        <w:rPr>
          <w:color w:val="000000"/>
        </w:rPr>
        <w:t>A lecturer applying for promotion to assistant professor shall be equipped with the Lecturer Certificate issued by the Ministry of Education (hereinafter referred to as “MOE”), and shall have served as a lecturer for more than three (3) years, demonstrating outstanding performance in teaching and service, and shall have published academic writing of the level equivalent to a doctoral dissertation.</w:t>
      </w:r>
    </w:p>
    <w:p w:rsidR="00675CB4" w:rsidRPr="00C301CF" w:rsidRDefault="00675CB4" w:rsidP="00BE353B">
      <w:pPr>
        <w:pStyle w:val="aa"/>
        <w:autoSpaceDE w:val="0"/>
        <w:autoSpaceDN w:val="0"/>
        <w:spacing w:beforeLines="20" w:before="72" w:afterLines="20" w:after="72" w:line="0" w:lineRule="atLeast"/>
        <w:ind w:leftChars="0" w:left="1447"/>
        <w:jc w:val="both"/>
        <w:rPr>
          <w:rFonts w:eastAsia="標楷體"/>
          <w:color w:val="000000"/>
          <w:szCs w:val="24"/>
        </w:rPr>
      </w:pPr>
      <w:r w:rsidRPr="00C301CF">
        <w:rPr>
          <w:color w:val="000000"/>
        </w:rPr>
        <w:t>A lecturer applying for promotion to associate professor directly shall be equipped with the Lecturer Certificate issued by the MOE before the effective date (March 21, 1997) of the amendment to the “Act Governing the Appointment of Educators”, and shall have served as a lecturer for more than four (4) years, demonstrating outstanding performance in teaching and service, and shall have published academic writing.</w:t>
      </w:r>
    </w:p>
    <w:p w:rsidR="00675CB4" w:rsidRPr="00C301CF" w:rsidRDefault="00675CB4" w:rsidP="00BE353B">
      <w:pPr>
        <w:pStyle w:val="aa"/>
        <w:numPr>
          <w:ilvl w:val="0"/>
          <w:numId w:val="11"/>
        </w:numPr>
        <w:autoSpaceDE w:val="0"/>
        <w:autoSpaceDN w:val="0"/>
        <w:spacing w:beforeLines="20" w:before="72" w:afterLines="20" w:after="72" w:line="0" w:lineRule="atLeast"/>
        <w:ind w:leftChars="0"/>
        <w:jc w:val="both"/>
        <w:rPr>
          <w:rFonts w:eastAsia="標楷體"/>
          <w:color w:val="000000"/>
          <w:szCs w:val="24"/>
        </w:rPr>
      </w:pPr>
      <w:r w:rsidRPr="00C301CF">
        <w:rPr>
          <w:color w:val="000000"/>
        </w:rPr>
        <w:t>An assistant professor applying for promotion to associate professor shall be equipped with the Assistant Professor Certificate issued by the MOE, and shall have served as an assistant professor for more than three (3) years, demonstrating outstanding performance in teaching and service, and shall have published academic writing.</w:t>
      </w:r>
    </w:p>
    <w:p w:rsidR="00675CB4" w:rsidRPr="00C301CF" w:rsidRDefault="00675CB4" w:rsidP="00BE353B">
      <w:pPr>
        <w:pStyle w:val="aa"/>
        <w:numPr>
          <w:ilvl w:val="0"/>
          <w:numId w:val="11"/>
        </w:numPr>
        <w:autoSpaceDE w:val="0"/>
        <w:autoSpaceDN w:val="0"/>
        <w:spacing w:beforeLines="20" w:before="72" w:afterLines="20" w:after="72" w:line="0" w:lineRule="atLeast"/>
        <w:ind w:leftChars="0"/>
        <w:jc w:val="both"/>
        <w:rPr>
          <w:rFonts w:eastAsia="標楷體"/>
          <w:color w:val="000000"/>
          <w:szCs w:val="24"/>
        </w:rPr>
      </w:pPr>
      <w:r w:rsidRPr="00C301CF">
        <w:rPr>
          <w:color w:val="000000"/>
        </w:rPr>
        <w:lastRenderedPageBreak/>
        <w:t>An assistant professor applying for promotion to professor shall be equipped with the Associate Professor Certificate issued by the MOE, and shall have served as an associate professor for more than three (3) years, demonstrating outstanding performance in teaching and service, and shall have published important academic writing.</w:t>
      </w:r>
    </w:p>
    <w:p w:rsidR="00675CB4" w:rsidRPr="00C301CF" w:rsidRDefault="00675CB4" w:rsidP="00BE353B">
      <w:pPr>
        <w:spacing w:beforeLines="20" w:before="72" w:afterLines="20" w:after="72" w:line="0" w:lineRule="atLeast"/>
        <w:ind w:left="993"/>
        <w:jc w:val="both"/>
        <w:rPr>
          <w:rFonts w:eastAsia="標楷體"/>
          <w:color w:val="000000"/>
        </w:rPr>
      </w:pPr>
      <w:r w:rsidRPr="00C301CF">
        <w:rPr>
          <w:color w:val="000000"/>
        </w:rPr>
        <w:t>Seniority for faculty promotion shall refer to the period of teaching in CYCU in principle, provided that the seniority for teaching in another school may be considered after such seniority is approved by the school faculty evaluation committee.</w:t>
      </w:r>
    </w:p>
    <w:p w:rsidR="00675CB4" w:rsidRPr="00C301CF" w:rsidRDefault="00675CB4" w:rsidP="00BE353B">
      <w:pPr>
        <w:spacing w:beforeLines="20" w:before="72" w:afterLines="20" w:after="72" w:line="0" w:lineRule="atLeast"/>
        <w:ind w:left="993"/>
        <w:jc w:val="both"/>
        <w:rPr>
          <w:rFonts w:eastAsia="標楷體"/>
          <w:color w:val="000000"/>
        </w:rPr>
      </w:pPr>
      <w:r w:rsidRPr="00C301CF">
        <w:rPr>
          <w:color w:val="000000"/>
        </w:rPr>
        <w:t>The requirement for the seniority of an adjunct faculty member shall be twice the period of the seniority specified in the subparagraphs of Paragraph 1.</w:t>
      </w:r>
    </w:p>
    <w:p w:rsidR="00675CB4" w:rsidRPr="00C301CF" w:rsidRDefault="00675CB4" w:rsidP="00BE353B">
      <w:pPr>
        <w:spacing w:beforeLines="20" w:before="72" w:afterLines="20" w:after="72" w:line="0" w:lineRule="atLeast"/>
        <w:ind w:left="993"/>
        <w:jc w:val="both"/>
        <w:rPr>
          <w:rFonts w:eastAsia="標楷體"/>
          <w:color w:val="000000"/>
        </w:rPr>
      </w:pPr>
      <w:r w:rsidRPr="00C301CF">
        <w:rPr>
          <w:color w:val="000000"/>
        </w:rPr>
        <w:t xml:space="preserve"> “Academic writing” described herein refers to published books, or works published in domestic/foreign academic or professional journals (including electronic journals through official review procedures and permitted for disclosure and use), or works published periodically based on the certificates issued by said journals, or works published upon research through official review procedures domestically or overseas and bound in book form (including publication in the form of optical disk).</w:t>
      </w:r>
    </w:p>
    <w:p w:rsidR="00EA7AA1" w:rsidRPr="00C301CF" w:rsidRDefault="00675CB4" w:rsidP="00BE353B">
      <w:pPr>
        <w:spacing w:beforeLines="20" w:before="72" w:afterLines="20" w:after="72" w:line="0" w:lineRule="atLeast"/>
        <w:ind w:left="993"/>
        <w:jc w:val="both"/>
        <w:rPr>
          <w:rFonts w:eastAsia="標楷體"/>
          <w:color w:val="000000"/>
        </w:rPr>
      </w:pPr>
      <w:r w:rsidRPr="00C301CF">
        <w:rPr>
          <w:color w:val="000000"/>
        </w:rPr>
        <w:t>Academic writing is categorized into representative works and reference works; such works shall be published or announced by the applicant applying for faculty promotion after the applicant has obtained the faculty qualification of the previous rank.</w:t>
      </w:r>
    </w:p>
    <w:p w:rsidR="004E5BA8" w:rsidRPr="00C301CF" w:rsidRDefault="004E5BA8" w:rsidP="00BE353B">
      <w:pPr>
        <w:spacing w:beforeLines="20" w:before="72" w:afterLines="20" w:after="72" w:line="0" w:lineRule="atLeast"/>
        <w:ind w:left="993"/>
        <w:jc w:val="both"/>
        <w:rPr>
          <w:rFonts w:eastAsia="標楷體"/>
          <w:color w:val="000000"/>
        </w:rPr>
      </w:pPr>
      <w:r w:rsidRPr="00C301CF">
        <w:rPr>
          <w:color w:val="000000"/>
        </w:rPr>
        <w:t>A faculty member applying for faculty promotion shall comply with the review indicator requirements for faculty promotion in terms of the “Teaching Aspect” and the “Service and Guidance Aspect” of CYCU.</w:t>
      </w:r>
    </w:p>
    <w:p w:rsidR="006D5F17" w:rsidRPr="00C301CF" w:rsidRDefault="006D5F17" w:rsidP="00BE353B">
      <w:pPr>
        <w:numPr>
          <w:ilvl w:val="0"/>
          <w:numId w:val="1"/>
        </w:numPr>
        <w:spacing w:beforeLines="20" w:before="72" w:afterLines="20" w:after="72" w:line="0" w:lineRule="atLeast"/>
        <w:ind w:left="993" w:hanging="993"/>
        <w:jc w:val="both"/>
        <w:rPr>
          <w:rFonts w:eastAsia="標楷體"/>
        </w:rPr>
      </w:pPr>
      <w:r w:rsidRPr="00C301CF">
        <w:t>Where an applicant submits works, certificate of accomplishment or technical report in place of the academic writing for review, the requirements shall be handled in accordance with the review standards established by the MOE.</w:t>
      </w:r>
    </w:p>
    <w:p w:rsidR="006D5F17" w:rsidRPr="00C301CF" w:rsidRDefault="006D5F17" w:rsidP="00BE353B">
      <w:pPr>
        <w:spacing w:beforeLines="20" w:before="72" w:afterLines="20" w:after="72" w:line="0" w:lineRule="atLeast"/>
        <w:ind w:left="993"/>
        <w:jc w:val="both"/>
        <w:rPr>
          <w:rFonts w:eastAsia="標楷體"/>
        </w:rPr>
      </w:pPr>
      <w:r w:rsidRPr="00C301CF">
        <w:t>Where an applicant submits teaching practice research in place of the academic writing for review, the requirements shall be handled in accordance with the relevant review standards established by the MOE.</w:t>
      </w:r>
    </w:p>
    <w:p w:rsidR="00D459DF" w:rsidRPr="00C301CF" w:rsidRDefault="00D459DF" w:rsidP="00BE353B">
      <w:pPr>
        <w:spacing w:beforeLines="20" w:before="72" w:afterLines="20" w:after="72" w:line="0" w:lineRule="atLeast"/>
        <w:ind w:left="993"/>
        <w:jc w:val="both"/>
        <w:rPr>
          <w:rFonts w:eastAsia="標楷體"/>
        </w:rPr>
      </w:pPr>
      <w:r w:rsidRPr="00C301CF">
        <w:t>Where an applicant submits teaching practice research or industry-academia collaboration for review, it shall comply with the requirements of the promotion review indicators for teaching practice research and industry-academia collaboration of CYCU.</w:t>
      </w:r>
    </w:p>
    <w:p w:rsidR="00EA7AA1" w:rsidRPr="00C301CF" w:rsidRDefault="00EA7AA1" w:rsidP="00BE353B">
      <w:pPr>
        <w:numPr>
          <w:ilvl w:val="0"/>
          <w:numId w:val="1"/>
        </w:numPr>
        <w:spacing w:beforeLines="20" w:before="72" w:afterLines="20" w:after="72" w:line="0" w:lineRule="atLeast"/>
        <w:ind w:left="993" w:hanging="993"/>
        <w:jc w:val="both"/>
        <w:rPr>
          <w:rFonts w:eastAsia="標楷體"/>
          <w:color w:val="000000"/>
        </w:rPr>
      </w:pPr>
      <w:r w:rsidRPr="00C301CF">
        <w:t xml:space="preserve">The faculty promotion of a faculty member is reviewed based on three aspects of the faculty member’s research (creative work, teaching practice research or industry-academia collaboration), teaching, service and guidance, and the evaluation score ratios are as follows: research results (creative work, teaching practice research or </w:t>
      </w:r>
      <w:r w:rsidRPr="00C301CF">
        <w:rPr>
          <w:color w:val="000000"/>
        </w:rPr>
        <w:t>industry-academia collaboration) account for 40%, teaching performance accounts for 40%, and service and guidance account for 20%.</w:t>
      </w:r>
    </w:p>
    <w:p w:rsidR="00EA7AA1" w:rsidRPr="00C301CF" w:rsidRDefault="001D62C8" w:rsidP="00BE353B">
      <w:pPr>
        <w:numPr>
          <w:ilvl w:val="0"/>
          <w:numId w:val="1"/>
        </w:numPr>
        <w:spacing w:beforeLines="20" w:before="72" w:afterLines="20" w:after="72" w:line="0" w:lineRule="atLeast"/>
        <w:ind w:left="993" w:hanging="993"/>
        <w:jc w:val="both"/>
        <w:rPr>
          <w:rFonts w:eastAsia="標楷體"/>
          <w:color w:val="000000"/>
        </w:rPr>
      </w:pPr>
      <w:r w:rsidRPr="00C301CF">
        <w:rPr>
          <w:color w:val="000000"/>
        </w:rPr>
        <w:t>Applications for faculty promotion shall be submitted according to the period specified by the school each year, and the chair of the department shall convene a department faculty evaluation committee meeting to review the application qualification.</w:t>
      </w:r>
    </w:p>
    <w:p w:rsidR="00EA7AA1" w:rsidRPr="00C301CF" w:rsidRDefault="00EA7AA1" w:rsidP="00BE353B">
      <w:pPr>
        <w:numPr>
          <w:ilvl w:val="0"/>
          <w:numId w:val="1"/>
        </w:numPr>
        <w:spacing w:beforeLines="20" w:before="72" w:afterLines="20" w:after="72" w:line="0" w:lineRule="atLeast"/>
        <w:ind w:left="993" w:hanging="993"/>
        <w:jc w:val="both"/>
        <w:rPr>
          <w:rFonts w:eastAsia="標楷體"/>
          <w:color w:val="000000"/>
        </w:rPr>
      </w:pPr>
      <w:r w:rsidRPr="00C301CF">
        <w:rPr>
          <w:color w:val="000000"/>
        </w:rPr>
        <w:lastRenderedPageBreak/>
        <w:t>The faculty evaluation committee of the department reviews the promotion application documents submitted and then provides an evaluation score and recommendation comments.</w:t>
      </w:r>
    </w:p>
    <w:p w:rsidR="00EA7AA1" w:rsidRPr="00C301CF" w:rsidRDefault="00EA7AA1" w:rsidP="00BE353B">
      <w:pPr>
        <w:spacing w:beforeLines="20" w:before="72" w:afterLines="20" w:after="72" w:line="0" w:lineRule="atLeast"/>
        <w:ind w:left="993"/>
        <w:jc w:val="both"/>
        <w:rPr>
          <w:rFonts w:eastAsia="標楷體"/>
          <w:color w:val="000000"/>
        </w:rPr>
      </w:pPr>
      <w:r w:rsidRPr="00C301CF">
        <w:rPr>
          <w:color w:val="000000"/>
        </w:rPr>
        <w:t>The evaluation standards are as follows:</w:t>
      </w:r>
    </w:p>
    <w:p w:rsidR="008E4894" w:rsidRPr="00C301CF" w:rsidRDefault="008E4894" w:rsidP="00BE353B">
      <w:pPr>
        <w:numPr>
          <w:ilvl w:val="0"/>
          <w:numId w:val="6"/>
        </w:numPr>
        <w:tabs>
          <w:tab w:val="clear" w:pos="1447"/>
        </w:tabs>
        <w:spacing w:beforeLines="20" w:before="72" w:afterLines="20" w:after="72" w:line="0" w:lineRule="atLeast"/>
        <w:jc w:val="both"/>
        <w:rPr>
          <w:rFonts w:eastAsia="標楷體"/>
          <w:color w:val="000000"/>
        </w:rPr>
      </w:pPr>
      <w:r w:rsidRPr="00C301CF">
        <w:rPr>
          <w:color w:val="000000"/>
        </w:rPr>
        <w:t>For a faculty member applying for promotion to assistant professor, a minimum score of 70 points is required.</w:t>
      </w:r>
    </w:p>
    <w:p w:rsidR="008E4894" w:rsidRPr="00C301CF" w:rsidRDefault="008E4894" w:rsidP="00BE353B">
      <w:pPr>
        <w:numPr>
          <w:ilvl w:val="0"/>
          <w:numId w:val="6"/>
        </w:numPr>
        <w:spacing w:beforeLines="20" w:before="72" w:afterLines="20" w:after="72" w:line="0" w:lineRule="atLeast"/>
        <w:jc w:val="both"/>
        <w:rPr>
          <w:rFonts w:eastAsia="標楷體"/>
          <w:color w:val="000000"/>
        </w:rPr>
      </w:pPr>
      <w:r w:rsidRPr="00C301CF">
        <w:rPr>
          <w:color w:val="000000"/>
        </w:rPr>
        <w:t>For a faculty member applying for promotion to associate professor, a minimum score of 75 points is required.</w:t>
      </w:r>
    </w:p>
    <w:p w:rsidR="008E4894" w:rsidRPr="00C301CF" w:rsidRDefault="008E4894" w:rsidP="00BE353B">
      <w:pPr>
        <w:numPr>
          <w:ilvl w:val="0"/>
          <w:numId w:val="6"/>
        </w:numPr>
        <w:spacing w:beforeLines="20" w:before="72" w:afterLines="20" w:after="72" w:line="0" w:lineRule="atLeast"/>
        <w:jc w:val="both"/>
        <w:rPr>
          <w:rFonts w:eastAsia="標楷體"/>
          <w:color w:val="000000"/>
        </w:rPr>
      </w:pPr>
      <w:r w:rsidRPr="00C301CF">
        <w:rPr>
          <w:color w:val="000000"/>
        </w:rPr>
        <w:t>For a faculty member applying for promotion to professor, a minimum score of 80 points is required.</w:t>
      </w:r>
    </w:p>
    <w:p w:rsidR="00EA7AA1" w:rsidRPr="00C301CF" w:rsidRDefault="00EA7AA1" w:rsidP="00BE353B">
      <w:pPr>
        <w:numPr>
          <w:ilvl w:val="0"/>
          <w:numId w:val="1"/>
        </w:numPr>
        <w:spacing w:beforeLines="20" w:before="72" w:afterLines="20" w:after="72" w:line="0" w:lineRule="atLeast"/>
        <w:ind w:left="993" w:hanging="993"/>
        <w:jc w:val="both"/>
        <w:rPr>
          <w:rFonts w:eastAsia="標楷體"/>
          <w:color w:val="000000"/>
        </w:rPr>
      </w:pPr>
      <w:r w:rsidRPr="00C301CF">
        <w:rPr>
          <w:color w:val="000000"/>
        </w:rPr>
        <w:t>Faculty promotion shall be approved by more than two-thirds (inclusive) of attending members of the department faculty evaluation committee, following which it is recommended and submitted to the college faculty evaluation committee.</w:t>
      </w:r>
    </w:p>
    <w:p w:rsidR="00EA7AA1" w:rsidRPr="00C301CF" w:rsidRDefault="00EA7AA1" w:rsidP="00BE353B">
      <w:pPr>
        <w:numPr>
          <w:ilvl w:val="0"/>
          <w:numId w:val="1"/>
        </w:numPr>
        <w:spacing w:beforeLines="20" w:before="72" w:afterLines="20" w:after="72" w:line="0" w:lineRule="atLeast"/>
        <w:ind w:left="993" w:hanging="993"/>
        <w:jc w:val="both"/>
        <w:rPr>
          <w:rFonts w:eastAsia="標楷體"/>
          <w:color w:val="000000"/>
        </w:rPr>
      </w:pPr>
      <w:r w:rsidRPr="00C301CF">
        <w:rPr>
          <w:color w:val="000000"/>
        </w:rPr>
        <w:t>Where an adjunct faculty member of the department is not acting as a full-time faculty member in other junior colleges and institutions of higher education, if he/she applies for promotion, except that his/her seniority shall be reduced to half for evaluation, the rest of the requirements shall be handled in accordance to these Regulations as well as the rules and regulations of CYCU.</w:t>
      </w:r>
    </w:p>
    <w:p w:rsidR="006D7FA5" w:rsidRPr="00C301CF" w:rsidRDefault="006D7FA5" w:rsidP="00BE353B">
      <w:pPr>
        <w:numPr>
          <w:ilvl w:val="0"/>
          <w:numId w:val="1"/>
        </w:numPr>
        <w:spacing w:beforeLines="20" w:before="72" w:afterLines="20" w:after="72" w:line="0" w:lineRule="atLeast"/>
        <w:ind w:left="993" w:hanging="993"/>
        <w:jc w:val="both"/>
        <w:rPr>
          <w:rFonts w:eastAsia="標楷體"/>
          <w:color w:val="000000"/>
        </w:rPr>
      </w:pPr>
      <w:r w:rsidRPr="00C301CF">
        <w:rPr>
          <w:color w:val="000000"/>
        </w:rPr>
        <w:t>Any matters not specified in these Regulations shall be handled in accordance with relevant requirements.</w:t>
      </w:r>
    </w:p>
    <w:p w:rsidR="00EA7AA1" w:rsidRPr="00C301CF" w:rsidRDefault="00EA7AA1" w:rsidP="00BE353B">
      <w:pPr>
        <w:numPr>
          <w:ilvl w:val="0"/>
          <w:numId w:val="1"/>
        </w:numPr>
        <w:spacing w:beforeLines="20" w:before="72" w:afterLines="20" w:after="72" w:line="0" w:lineRule="atLeast"/>
        <w:ind w:left="993" w:hanging="993"/>
        <w:jc w:val="both"/>
        <w:rPr>
          <w:rFonts w:eastAsia="標楷體"/>
          <w:color w:val="000000"/>
        </w:rPr>
      </w:pPr>
      <w:r w:rsidRPr="00C301CF">
        <w:rPr>
          <w:color w:val="000000"/>
        </w:rPr>
        <w:t>These Regulations are approved by the department affairs committee meeting, followed by reporting to the college faculty evaluation committee for approval before implementation.</w:t>
      </w:r>
    </w:p>
    <w:sectPr w:rsidR="00EA7AA1" w:rsidRPr="00C301CF" w:rsidSect="00CC0A3A">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60A" w:rsidRDefault="00CA160A" w:rsidP="003C3879">
      <w:r>
        <w:separator/>
      </w:r>
    </w:p>
  </w:endnote>
  <w:endnote w:type="continuationSeparator" w:id="0">
    <w:p w:rsidR="00CA160A" w:rsidRDefault="00CA160A" w:rsidP="003C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60A" w:rsidRDefault="00CA160A" w:rsidP="003C3879">
      <w:r>
        <w:separator/>
      </w:r>
    </w:p>
  </w:footnote>
  <w:footnote w:type="continuationSeparator" w:id="0">
    <w:p w:rsidR="00CA160A" w:rsidRDefault="00CA160A" w:rsidP="003C3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6ACE"/>
    <w:multiLevelType w:val="hybridMultilevel"/>
    <w:tmpl w:val="6914A470"/>
    <w:lvl w:ilvl="0" w:tplc="562EBE20">
      <w:start w:val="1"/>
      <w:numFmt w:val="taiwaneseCountingThousand"/>
      <w:lvlText w:val="%1、"/>
      <w:lvlJc w:val="left"/>
      <w:pPr>
        <w:ind w:left="1447" w:hanging="480"/>
      </w:pPr>
      <w:rPr>
        <w:rFonts w:hint="default"/>
      </w:r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1" w15:restartNumberingAfterBreak="0">
    <w:nsid w:val="1160327C"/>
    <w:multiLevelType w:val="hybridMultilevel"/>
    <w:tmpl w:val="81A29CA6"/>
    <w:lvl w:ilvl="0" w:tplc="45401EA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28E73ED"/>
    <w:multiLevelType w:val="hybridMultilevel"/>
    <w:tmpl w:val="4A88AE80"/>
    <w:lvl w:ilvl="0" w:tplc="52BC5E46">
      <w:start w:val="1"/>
      <w:numFmt w:val="decimal"/>
      <w:lvlText w:val="%1."/>
      <w:lvlJc w:val="left"/>
      <w:pPr>
        <w:ind w:left="1447" w:hanging="480"/>
      </w:pPr>
      <w:rPr>
        <w:rFonts w:hint="eastAsia"/>
      </w:r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3" w15:restartNumberingAfterBreak="0">
    <w:nsid w:val="1F4A0925"/>
    <w:multiLevelType w:val="singleLevel"/>
    <w:tmpl w:val="1E68C1B6"/>
    <w:lvl w:ilvl="0">
      <w:start w:val="1"/>
      <w:numFmt w:val="taiwaneseCountingThousand"/>
      <w:lvlText w:val="%1、"/>
      <w:lvlJc w:val="left"/>
      <w:pPr>
        <w:tabs>
          <w:tab w:val="num" w:pos="2130"/>
        </w:tabs>
        <w:ind w:left="2130" w:hanging="450"/>
      </w:pPr>
      <w:rPr>
        <w:rFonts w:hint="eastAsia"/>
      </w:rPr>
    </w:lvl>
  </w:abstractNum>
  <w:abstractNum w:abstractNumId="4" w15:restartNumberingAfterBreak="0">
    <w:nsid w:val="21CE1C34"/>
    <w:multiLevelType w:val="hybridMultilevel"/>
    <w:tmpl w:val="B514441C"/>
    <w:lvl w:ilvl="0" w:tplc="52BC5E46">
      <w:start w:val="1"/>
      <w:numFmt w:val="decimal"/>
      <w:lvlText w:val="%1."/>
      <w:lvlJc w:val="left"/>
      <w:pPr>
        <w:tabs>
          <w:tab w:val="num" w:pos="1447"/>
        </w:tabs>
        <w:ind w:left="1447" w:hanging="480"/>
      </w:pPr>
      <w:rPr>
        <w:rFonts w:hint="eastAsia"/>
      </w:rPr>
    </w:lvl>
    <w:lvl w:ilvl="1" w:tplc="04090019" w:tentative="1">
      <w:start w:val="1"/>
      <w:numFmt w:val="ideographTraditional"/>
      <w:lvlText w:val="%2、"/>
      <w:lvlJc w:val="left"/>
      <w:pPr>
        <w:tabs>
          <w:tab w:val="num" w:pos="1927"/>
        </w:tabs>
        <w:ind w:left="1927" w:hanging="480"/>
      </w:pPr>
    </w:lvl>
    <w:lvl w:ilvl="2" w:tplc="0409001B" w:tentative="1">
      <w:start w:val="1"/>
      <w:numFmt w:val="lowerRoman"/>
      <w:lvlText w:val="%3."/>
      <w:lvlJc w:val="right"/>
      <w:pPr>
        <w:tabs>
          <w:tab w:val="num" w:pos="2407"/>
        </w:tabs>
        <w:ind w:left="2407" w:hanging="480"/>
      </w:pPr>
    </w:lvl>
    <w:lvl w:ilvl="3" w:tplc="0409000F" w:tentative="1">
      <w:start w:val="1"/>
      <w:numFmt w:val="decimal"/>
      <w:lvlText w:val="%4."/>
      <w:lvlJc w:val="left"/>
      <w:pPr>
        <w:tabs>
          <w:tab w:val="num" w:pos="2887"/>
        </w:tabs>
        <w:ind w:left="2887" w:hanging="480"/>
      </w:pPr>
    </w:lvl>
    <w:lvl w:ilvl="4" w:tplc="04090019" w:tentative="1">
      <w:start w:val="1"/>
      <w:numFmt w:val="ideographTraditional"/>
      <w:lvlText w:val="%5、"/>
      <w:lvlJc w:val="left"/>
      <w:pPr>
        <w:tabs>
          <w:tab w:val="num" w:pos="3367"/>
        </w:tabs>
        <w:ind w:left="3367" w:hanging="480"/>
      </w:pPr>
    </w:lvl>
    <w:lvl w:ilvl="5" w:tplc="0409001B" w:tentative="1">
      <w:start w:val="1"/>
      <w:numFmt w:val="lowerRoman"/>
      <w:lvlText w:val="%6."/>
      <w:lvlJc w:val="right"/>
      <w:pPr>
        <w:tabs>
          <w:tab w:val="num" w:pos="3847"/>
        </w:tabs>
        <w:ind w:left="3847" w:hanging="480"/>
      </w:pPr>
    </w:lvl>
    <w:lvl w:ilvl="6" w:tplc="0409000F" w:tentative="1">
      <w:start w:val="1"/>
      <w:numFmt w:val="decimal"/>
      <w:lvlText w:val="%7."/>
      <w:lvlJc w:val="left"/>
      <w:pPr>
        <w:tabs>
          <w:tab w:val="num" w:pos="4327"/>
        </w:tabs>
        <w:ind w:left="4327" w:hanging="480"/>
      </w:pPr>
    </w:lvl>
    <w:lvl w:ilvl="7" w:tplc="04090019" w:tentative="1">
      <w:start w:val="1"/>
      <w:numFmt w:val="ideographTraditional"/>
      <w:lvlText w:val="%8、"/>
      <w:lvlJc w:val="left"/>
      <w:pPr>
        <w:tabs>
          <w:tab w:val="num" w:pos="4807"/>
        </w:tabs>
        <w:ind w:left="4807" w:hanging="480"/>
      </w:pPr>
    </w:lvl>
    <w:lvl w:ilvl="8" w:tplc="0409001B" w:tentative="1">
      <w:start w:val="1"/>
      <w:numFmt w:val="lowerRoman"/>
      <w:lvlText w:val="%9."/>
      <w:lvlJc w:val="right"/>
      <w:pPr>
        <w:tabs>
          <w:tab w:val="num" w:pos="5287"/>
        </w:tabs>
        <w:ind w:left="5287" w:hanging="480"/>
      </w:pPr>
    </w:lvl>
  </w:abstractNum>
  <w:abstractNum w:abstractNumId="5" w15:restartNumberingAfterBreak="0">
    <w:nsid w:val="37EF1577"/>
    <w:multiLevelType w:val="hybridMultilevel"/>
    <w:tmpl w:val="81A29CA6"/>
    <w:lvl w:ilvl="0" w:tplc="45401EA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47AE141F"/>
    <w:multiLevelType w:val="singleLevel"/>
    <w:tmpl w:val="55AAB24E"/>
    <w:lvl w:ilvl="0">
      <w:start w:val="1"/>
      <w:numFmt w:val="taiwaneseCountingThousand"/>
      <w:lvlText w:val="%1、"/>
      <w:lvlJc w:val="left"/>
      <w:pPr>
        <w:tabs>
          <w:tab w:val="num" w:pos="2160"/>
        </w:tabs>
        <w:ind w:left="2160" w:hanging="480"/>
      </w:pPr>
      <w:rPr>
        <w:rFonts w:hint="eastAsia"/>
      </w:rPr>
    </w:lvl>
  </w:abstractNum>
  <w:abstractNum w:abstractNumId="7" w15:restartNumberingAfterBreak="0">
    <w:nsid w:val="56EB3B31"/>
    <w:multiLevelType w:val="singleLevel"/>
    <w:tmpl w:val="2AF2D836"/>
    <w:lvl w:ilvl="0">
      <w:start w:val="1"/>
      <w:numFmt w:val="taiwaneseCountingThousand"/>
      <w:lvlText w:val="〈%1〉"/>
      <w:lvlJc w:val="left"/>
      <w:pPr>
        <w:tabs>
          <w:tab w:val="num" w:pos="2772"/>
        </w:tabs>
        <w:ind w:left="2772" w:hanging="720"/>
      </w:pPr>
      <w:rPr>
        <w:rFonts w:hint="eastAsia"/>
      </w:rPr>
    </w:lvl>
  </w:abstractNum>
  <w:abstractNum w:abstractNumId="8" w15:restartNumberingAfterBreak="0">
    <w:nsid w:val="72643694"/>
    <w:multiLevelType w:val="hybridMultilevel"/>
    <w:tmpl w:val="81A29CA6"/>
    <w:lvl w:ilvl="0" w:tplc="45401EA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73E27AEB"/>
    <w:multiLevelType w:val="singleLevel"/>
    <w:tmpl w:val="D13C842C"/>
    <w:lvl w:ilvl="0">
      <w:start w:val="1"/>
      <w:numFmt w:val="decimal"/>
      <w:lvlText w:val="Article %1."/>
      <w:lvlJc w:val="left"/>
      <w:pPr>
        <w:ind w:left="480" w:hanging="480"/>
      </w:pPr>
      <w:rPr>
        <w:rFonts w:ascii="Times New Roman" w:hAnsi="Times New Roman" w:cs="Times New Roman" w:hint="default"/>
        <w:spacing w:val="-10"/>
      </w:rPr>
    </w:lvl>
  </w:abstractNum>
  <w:abstractNum w:abstractNumId="10" w15:restartNumberingAfterBreak="0">
    <w:nsid w:val="7FB811FB"/>
    <w:multiLevelType w:val="singleLevel"/>
    <w:tmpl w:val="FB50FA14"/>
    <w:lvl w:ilvl="0">
      <w:start w:val="1"/>
      <w:numFmt w:val="taiwaneseCountingThousand"/>
      <w:lvlText w:val="%1、"/>
      <w:lvlJc w:val="left"/>
      <w:pPr>
        <w:tabs>
          <w:tab w:val="num" w:pos="2130"/>
        </w:tabs>
        <w:ind w:left="2130" w:hanging="450"/>
      </w:pPr>
      <w:rPr>
        <w:rFonts w:hint="eastAsia"/>
      </w:rPr>
    </w:lvl>
  </w:abstractNum>
  <w:num w:numId="1">
    <w:abstractNumId w:val="9"/>
  </w:num>
  <w:num w:numId="2">
    <w:abstractNumId w:val="7"/>
  </w:num>
  <w:num w:numId="3">
    <w:abstractNumId w:val="3"/>
  </w:num>
  <w:num w:numId="4">
    <w:abstractNumId w:val="10"/>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57"/>
  <w:drawingGridVerticalSpacing w:val="57"/>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F2"/>
    <w:rsid w:val="00005995"/>
    <w:rsid w:val="00011E3B"/>
    <w:rsid w:val="00044542"/>
    <w:rsid w:val="00066CEE"/>
    <w:rsid w:val="0008622A"/>
    <w:rsid w:val="000D7B17"/>
    <w:rsid w:val="000F735C"/>
    <w:rsid w:val="00125579"/>
    <w:rsid w:val="00146819"/>
    <w:rsid w:val="001468F9"/>
    <w:rsid w:val="00176405"/>
    <w:rsid w:val="001967BE"/>
    <w:rsid w:val="001D62C8"/>
    <w:rsid w:val="002C1B35"/>
    <w:rsid w:val="00373126"/>
    <w:rsid w:val="003A62AC"/>
    <w:rsid w:val="003C3879"/>
    <w:rsid w:val="004A0E1F"/>
    <w:rsid w:val="004E5BA8"/>
    <w:rsid w:val="004F3FF6"/>
    <w:rsid w:val="004F7C8D"/>
    <w:rsid w:val="00552B1D"/>
    <w:rsid w:val="00556B32"/>
    <w:rsid w:val="005624D5"/>
    <w:rsid w:val="005B35F5"/>
    <w:rsid w:val="005C6DC5"/>
    <w:rsid w:val="005D6508"/>
    <w:rsid w:val="006127E3"/>
    <w:rsid w:val="00675CB4"/>
    <w:rsid w:val="006D5F17"/>
    <w:rsid w:val="006D7436"/>
    <w:rsid w:val="006D7FA5"/>
    <w:rsid w:val="006F1E3F"/>
    <w:rsid w:val="00715258"/>
    <w:rsid w:val="00746B89"/>
    <w:rsid w:val="007746F2"/>
    <w:rsid w:val="00787E24"/>
    <w:rsid w:val="007924E2"/>
    <w:rsid w:val="007C2844"/>
    <w:rsid w:val="007C4D7C"/>
    <w:rsid w:val="007E6CC2"/>
    <w:rsid w:val="008D1D39"/>
    <w:rsid w:val="008E4894"/>
    <w:rsid w:val="009051CD"/>
    <w:rsid w:val="00932798"/>
    <w:rsid w:val="009815DA"/>
    <w:rsid w:val="00A2515B"/>
    <w:rsid w:val="00A26F26"/>
    <w:rsid w:val="00A43DA7"/>
    <w:rsid w:val="00A4466B"/>
    <w:rsid w:val="00A95AEB"/>
    <w:rsid w:val="00AF0582"/>
    <w:rsid w:val="00AF36EA"/>
    <w:rsid w:val="00B013E2"/>
    <w:rsid w:val="00B34E09"/>
    <w:rsid w:val="00B56B16"/>
    <w:rsid w:val="00B66D2B"/>
    <w:rsid w:val="00B7138E"/>
    <w:rsid w:val="00BC746D"/>
    <w:rsid w:val="00BE353B"/>
    <w:rsid w:val="00C301CF"/>
    <w:rsid w:val="00C87D23"/>
    <w:rsid w:val="00CA160A"/>
    <w:rsid w:val="00CC0A3A"/>
    <w:rsid w:val="00CF2BC3"/>
    <w:rsid w:val="00D4312F"/>
    <w:rsid w:val="00D459DF"/>
    <w:rsid w:val="00D702E7"/>
    <w:rsid w:val="00DA446B"/>
    <w:rsid w:val="00DC4AE5"/>
    <w:rsid w:val="00E42EE8"/>
    <w:rsid w:val="00E7016E"/>
    <w:rsid w:val="00EA7AA1"/>
    <w:rsid w:val="00EC12D2"/>
    <w:rsid w:val="00F831D2"/>
    <w:rsid w:val="00FA0E72"/>
    <w:rsid w:val="00FB3E2B"/>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0ACFAF13-0053-46D9-A633-1DEAE174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969" w:hanging="969"/>
    </w:pPr>
    <w:rPr>
      <w:rFonts w:ascii="標楷體" w:eastAsia="標楷體"/>
    </w:rPr>
  </w:style>
  <w:style w:type="paragraph" w:styleId="2">
    <w:name w:val="Body Text Indent 2"/>
    <w:basedOn w:val="a"/>
    <w:pPr>
      <w:ind w:left="969"/>
    </w:pPr>
    <w:rPr>
      <w:rFonts w:ascii="標楷體" w:eastAsia="標楷體"/>
    </w:rPr>
  </w:style>
  <w:style w:type="paragraph" w:styleId="a6">
    <w:name w:val="header"/>
    <w:basedOn w:val="a"/>
    <w:link w:val="a7"/>
    <w:rsid w:val="003C3879"/>
    <w:pPr>
      <w:tabs>
        <w:tab w:val="center" w:pos="4153"/>
        <w:tab w:val="right" w:pos="8306"/>
      </w:tabs>
      <w:snapToGrid w:val="0"/>
    </w:pPr>
    <w:rPr>
      <w:sz w:val="20"/>
    </w:rPr>
  </w:style>
  <w:style w:type="character" w:customStyle="1" w:styleId="a7">
    <w:name w:val="頁首 字元"/>
    <w:link w:val="a6"/>
    <w:rsid w:val="003C3879"/>
    <w:rPr>
      <w:kern w:val="2"/>
    </w:rPr>
  </w:style>
  <w:style w:type="paragraph" w:styleId="a8">
    <w:name w:val="footer"/>
    <w:basedOn w:val="a"/>
    <w:link w:val="a9"/>
    <w:rsid w:val="003C3879"/>
    <w:pPr>
      <w:tabs>
        <w:tab w:val="center" w:pos="4153"/>
        <w:tab w:val="right" w:pos="8306"/>
      </w:tabs>
      <w:snapToGrid w:val="0"/>
    </w:pPr>
    <w:rPr>
      <w:sz w:val="20"/>
    </w:rPr>
  </w:style>
  <w:style w:type="character" w:customStyle="1" w:styleId="a9">
    <w:name w:val="頁尾 字元"/>
    <w:link w:val="a8"/>
    <w:rsid w:val="003C3879"/>
    <w:rPr>
      <w:kern w:val="2"/>
    </w:rPr>
  </w:style>
  <w:style w:type="paragraph" w:styleId="aa">
    <w:name w:val="List Paragraph"/>
    <w:basedOn w:val="a"/>
    <w:uiPriority w:val="34"/>
    <w:qFormat/>
    <w:rsid w:val="005D6508"/>
    <w:pPr>
      <w:adjustRightInd w:val="0"/>
      <w:spacing w:line="360" w:lineRule="atLeast"/>
      <w:ind w:leftChars="200" w:left="480"/>
    </w:pPr>
    <w:rPr>
      <w:kern w:val="0"/>
    </w:rPr>
  </w:style>
  <w:style w:type="paragraph" w:styleId="ab">
    <w:name w:val="Balloon Text"/>
    <w:basedOn w:val="a"/>
    <w:link w:val="ac"/>
    <w:rsid w:val="004A0E1F"/>
    <w:rPr>
      <w:rFonts w:ascii="Calibri Light" w:hAnsi="Calibri Light"/>
      <w:sz w:val="18"/>
      <w:szCs w:val="18"/>
    </w:rPr>
  </w:style>
  <w:style w:type="character" w:customStyle="1" w:styleId="ac">
    <w:name w:val="註解方塊文字 字元"/>
    <w:link w:val="ab"/>
    <w:rsid w:val="004A0E1F"/>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1090</Words>
  <Characters>6141</Characters>
  <Application>Microsoft Office Word</Application>
  <DocSecurity>0</DocSecurity>
  <Lines>51</Lines>
  <Paragraphs>14</Paragraphs>
  <ScaleCrop>false</ScaleCrop>
  <Company>itri</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室內設計學系教師升等評審辦法(1111109系務會議通過)</dc:title>
  <dc:subject/>
  <dc:creator>user</dc:creator>
  <cp:keywords/>
  <cp:lastModifiedBy>Celine Chang</cp:lastModifiedBy>
  <cp:revision>13</cp:revision>
  <cp:lastPrinted>2008-02-27T02:21:00Z</cp:lastPrinted>
  <dcterms:created xsi:type="dcterms:W3CDTF">2024-12-17T05:50:00Z</dcterms:created>
  <dcterms:modified xsi:type="dcterms:W3CDTF">2024-12-23T09:47:00Z</dcterms:modified>
</cp:coreProperties>
</file>